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1497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86MS0061-01-2024-006272-61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Колесова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3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Колесова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не признала, дополнительно пояснила, что алкоголь не употребляется, пила квас, лекарства и безалкогольное пиво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Колесов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566896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Колесова О.Г. управляла транспортным средством </w:t>
      </w:r>
      <w:r>
        <w:rPr>
          <w:rStyle w:val="cat-CarMakeModelgrp-23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4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060829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Колесов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26.05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находил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мг/л)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052419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Колесов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Drager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alcotest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6810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доводы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Колесовой О.Г. </w:t>
      </w:r>
      <w:r>
        <w:rPr>
          <w:rFonts w:ascii="Times New Roman" w:eastAsia="Times New Roman" w:hAnsi="Times New Roman" w:cs="Times New Roman"/>
          <w:sz w:val="28"/>
          <w:szCs w:val="28"/>
        </w:rPr>
        <w:t>не состоятельными, так как они противоречат материалам дела и опровергаются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нарушений процедуры освидетельствования на состояние алкогольного опьянения и оформления материалов по делу об административном правонарушении сотрудником ГИБДД не выявлено. Доводы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считает выбранной формой защиты, с целью уклонения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>26.05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Колесовой О.Г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предусмотренных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на иждивении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403200</w:t>
      </w:r>
      <w:r>
        <w:rPr>
          <w:rFonts w:ascii="Times New Roman" w:eastAsia="Times New Roman" w:hAnsi="Times New Roman" w:cs="Times New Roman"/>
          <w:sz w:val="28"/>
          <w:szCs w:val="28"/>
        </w:rPr>
        <w:t>13820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1497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CarMakeModelgrp-23rplc-20">
    <w:name w:val="cat-CarMakeModel grp-23 rplc-20"/>
    <w:basedOn w:val="DefaultParagraphFont"/>
  </w:style>
  <w:style w:type="character" w:customStyle="1" w:styleId="cat-CarNumbergrp-24rplc-21">
    <w:name w:val="cat-CarNumber grp-24 rplc-21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CarMakeModelgrp-23rplc-31">
    <w:name w:val="cat-CarMakeModel grp-23 rplc-31"/>
    <w:basedOn w:val="DefaultParagraphFont"/>
  </w:style>
  <w:style w:type="character" w:customStyle="1" w:styleId="cat-CarNumbergrp-24rplc-32">
    <w:name w:val="cat-CarNumber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